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&amp;ehk=lZIQBtOuBDa7r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90"/>
        <w:gridCol w:w="3456"/>
      </w:tblGrid>
      <w:tr w:rsidR="004B5EF5" w:rsidRPr="00946875" w:rsidTr="001D44E0">
        <w:trPr>
          <w:trHeight w:hRule="exact" w:val="14400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4B5EF5" w:rsidRPr="00946875" w:rsidTr="001D44E0">
              <w:trPr>
                <w:cantSplit/>
                <w:trHeight w:hRule="exact" w:val="7020"/>
              </w:trPr>
              <w:tc>
                <w:tcPr>
                  <w:tcW w:w="7200" w:type="dxa"/>
                </w:tcPr>
                <w:p w:rsidR="004B5EF5" w:rsidRPr="00946875" w:rsidRDefault="00A94841" w:rsidP="00EA28E4">
                  <w:pPr>
                    <w:jc w:val="center"/>
                    <w:rPr>
                      <w:b/>
                    </w:rPr>
                  </w:pPr>
                  <w:r w:rsidRPr="00946875">
                    <w:rPr>
                      <w:b/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2E68E72E" wp14:editId="097996A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2722880</wp:posOffset>
                            </wp:positionV>
                            <wp:extent cx="4574540" cy="137922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4540" cy="137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94841" w:rsidRPr="001D44E0" w:rsidRDefault="006C0DA5" w:rsidP="00BD3DF3">
                                        <w:pPr>
                                          <w:shd w:val="clear" w:color="auto" w:fill="8DC182" w:themeFill="accent4" w:themeFillTint="99"/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40"/>
                                            <w:szCs w:val="4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40"/>
                                            <w:szCs w:val="40"/>
                                            <w:u w:val="single"/>
                                          </w:rPr>
                                          <w:t>Class</w:t>
                                        </w:r>
                                        <w:r w:rsidR="00845143" w:rsidRPr="001D44E0">
                                          <w:rPr>
                                            <w:rFonts w:asciiTheme="majorHAnsi" w:hAnsiTheme="majorHAnsi"/>
                                            <w:sz w:val="40"/>
                                            <w:szCs w:val="40"/>
                                            <w:u w:val="single"/>
                                          </w:rPr>
                                          <w:t xml:space="preserve"> Location:</w:t>
                                        </w:r>
                                      </w:p>
                                      <w:p w:rsidR="00845143" w:rsidRDefault="00B1159A" w:rsidP="00BD3DF3">
                                        <w:pPr>
                                          <w:shd w:val="clear" w:color="auto" w:fill="8DC182" w:themeFill="accent4" w:themeFillTint="99"/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40"/>
                                            <w:szCs w:val="40"/>
                                          </w:rPr>
                                          <w:t>ARC, Normal Township</w:t>
                                        </w:r>
                                      </w:p>
                                      <w:p w:rsidR="00845143" w:rsidRPr="001D44E0" w:rsidRDefault="00B1159A" w:rsidP="00B1159A">
                                        <w:pPr>
                                          <w:shd w:val="clear" w:color="auto" w:fill="8DC182" w:themeFill="accent4" w:themeFillTint="99"/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40"/>
                                            <w:szCs w:val="40"/>
                                          </w:rPr>
                                          <w:t>600 E. Willow St., Normal, IL</w:t>
                                        </w:r>
                                      </w:p>
                                      <w:p w:rsidR="00845143" w:rsidRPr="00845143" w:rsidRDefault="00845143" w:rsidP="00845143">
                                        <w:pPr>
                                          <w:shd w:val="clear" w:color="auto" w:fill="8DC182" w:themeFill="accent4" w:themeFillTint="99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68E72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0;margin-top:214.4pt;width:360.2pt;height:10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" stroked="f">
                            <v:textbox>
                              <w:txbxContent>
                                <w:p w:rsidR="00A94841" w:rsidRPr="001D44E0" w:rsidRDefault="006C0DA5" w:rsidP="00BD3DF3">
                                  <w:pPr>
                                    <w:shd w:val="clear" w:color="auto" w:fill="8DC182" w:themeFill="accent4" w:themeFillTint="99"/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40"/>
                                      <w:szCs w:val="40"/>
                                      <w:u w:val="single"/>
                                    </w:rPr>
                                    <w:t>Class</w:t>
                                  </w:r>
                                  <w:r w:rsidR="00845143" w:rsidRPr="001D44E0">
                                    <w:rPr>
                                      <w:rFonts w:asciiTheme="majorHAnsi" w:hAnsiTheme="majorHAnsi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Location:</w:t>
                                  </w:r>
                                </w:p>
                                <w:p w:rsidR="00845143" w:rsidRDefault="00B1159A" w:rsidP="00BD3DF3">
                                  <w:pPr>
                                    <w:shd w:val="clear" w:color="auto" w:fill="8DC182" w:themeFill="accent4" w:themeFillTint="99"/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40"/>
                                      <w:szCs w:val="40"/>
                                    </w:rPr>
                                    <w:t>ARC, Normal Township</w:t>
                                  </w:r>
                                </w:p>
                                <w:p w:rsidR="00845143" w:rsidRPr="001D44E0" w:rsidRDefault="00B1159A" w:rsidP="00B1159A">
                                  <w:pPr>
                                    <w:shd w:val="clear" w:color="auto" w:fill="8DC182" w:themeFill="accent4" w:themeFillTint="99"/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40"/>
                                      <w:szCs w:val="40"/>
                                    </w:rPr>
                                    <w:t>600 E. Willow St., Normal, IL</w:t>
                                  </w:r>
                                </w:p>
                                <w:p w:rsidR="00845143" w:rsidRPr="00845143" w:rsidRDefault="00845143" w:rsidP="00845143">
                                  <w:pPr>
                                    <w:shd w:val="clear" w:color="auto" w:fill="8DC182" w:themeFill="accent4" w:themeFillTint="99"/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9C7232" w:rsidRPr="00946875">
                    <w:rPr>
                      <w:b/>
                      <w:noProof/>
                      <w:lang w:eastAsia="en-US"/>
                    </w:rPr>
                    <w:drawing>
                      <wp:inline distT="0" distB="0" distL="0" distR="0" wp14:anchorId="47D71C8A" wp14:editId="226EBC97">
                        <wp:extent cx="4519273" cy="2537460"/>
                        <wp:effectExtent l="0" t="0" r="0" b="0"/>
                        <wp:docPr id="1" name="Picture 1" descr="อายุ 50 เตรียมเฮ วัยกลางคน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7918" cy="25423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5EF5" w:rsidRPr="00946875" w:rsidTr="001D44E0">
              <w:trPr>
                <w:trHeight w:hRule="exact" w:val="7731"/>
              </w:trPr>
              <w:tc>
                <w:tcPr>
                  <w:tcW w:w="7200" w:type="dxa"/>
                </w:tcPr>
                <w:p w:rsidR="007C57C1" w:rsidRDefault="006C0DA5" w:rsidP="007C57C1">
                  <w:pPr>
                    <w:pStyle w:val="Subtitle"/>
                    <w:spacing w:before="0"/>
                    <w:rPr>
                      <w:b/>
                      <w:color w:val="3A6331" w:themeColor="accent4" w:themeShade="BF"/>
                      <w:sz w:val="48"/>
                      <w:szCs w:val="48"/>
                    </w:rPr>
                  </w:pPr>
                  <w:r>
                    <w:rPr>
                      <w:b/>
                      <w:color w:val="3A6331" w:themeColor="accent4" w:themeShade="BF"/>
                      <w:sz w:val="40"/>
                      <w:szCs w:val="40"/>
                    </w:rPr>
                    <w:t>Fridays</w:t>
                  </w:r>
                  <w:r w:rsidR="00C90F55" w:rsidRPr="00C90F55">
                    <w:rPr>
                      <w:b/>
                      <w:color w:val="3A6331" w:themeColor="accent4" w:themeShade="BF"/>
                      <w:sz w:val="40"/>
                      <w:szCs w:val="40"/>
                    </w:rPr>
                    <w:t xml:space="preserve">, </w:t>
                  </w:r>
                  <w:r w:rsidR="00FE1130">
                    <w:rPr>
                      <w:b/>
                      <w:color w:val="3A6331" w:themeColor="accent4" w:themeShade="BF"/>
                      <w:sz w:val="40"/>
                      <w:szCs w:val="40"/>
                    </w:rPr>
                    <w:t>1</w:t>
                  </w:r>
                  <w:r w:rsidR="00B1159A">
                    <w:rPr>
                      <w:b/>
                      <w:color w:val="3A6331" w:themeColor="accent4" w:themeShade="BF"/>
                      <w:sz w:val="40"/>
                      <w:szCs w:val="40"/>
                    </w:rPr>
                    <w:t xml:space="preserve">:00 – </w:t>
                  </w:r>
                  <w:r w:rsidR="00FE1130">
                    <w:rPr>
                      <w:b/>
                      <w:color w:val="3A6331" w:themeColor="accent4" w:themeShade="BF"/>
                      <w:sz w:val="40"/>
                      <w:szCs w:val="40"/>
                    </w:rPr>
                    <w:t>3</w:t>
                  </w:r>
                  <w:r>
                    <w:rPr>
                      <w:b/>
                      <w:color w:val="3A6331" w:themeColor="accent4" w:themeShade="BF"/>
                      <w:sz w:val="40"/>
                      <w:szCs w:val="40"/>
                    </w:rPr>
                    <w:t>:30</w:t>
                  </w:r>
                  <w:r w:rsidR="00FE1130">
                    <w:rPr>
                      <w:b/>
                      <w:color w:val="3A6331" w:themeColor="accent4" w:themeShade="BF"/>
                      <w:sz w:val="40"/>
                      <w:szCs w:val="40"/>
                    </w:rPr>
                    <w:t xml:space="preserve"> P</w:t>
                  </w:r>
                  <w:r w:rsidR="00B1159A">
                    <w:rPr>
                      <w:b/>
                      <w:color w:val="3A6331" w:themeColor="accent4" w:themeShade="BF"/>
                      <w:sz w:val="40"/>
                      <w:szCs w:val="40"/>
                    </w:rPr>
                    <w:t>m</w:t>
                  </w:r>
                  <w:r w:rsidR="00C90F55">
                    <w:rPr>
                      <w:b/>
                      <w:color w:val="3A6331" w:themeColor="accent4" w:themeShade="BF"/>
                      <w:sz w:val="48"/>
                      <w:szCs w:val="48"/>
                    </w:rPr>
                    <w:t xml:space="preserve"> </w:t>
                  </w:r>
                </w:p>
                <w:p w:rsidR="004B5EF5" w:rsidRPr="007C57C1" w:rsidRDefault="00FE1130" w:rsidP="007C57C1">
                  <w:pPr>
                    <w:pStyle w:val="Subtitle"/>
                    <w:spacing w:before="0"/>
                    <w:rPr>
                      <w:b/>
                      <w:color w:val="3A6331" w:themeColor="accent4" w:themeShade="BF"/>
                      <w:sz w:val="48"/>
                      <w:szCs w:val="48"/>
                    </w:rPr>
                  </w:pPr>
                  <w:r w:rsidRPr="007C57C1">
                    <w:rPr>
                      <w:b/>
                      <w:color w:val="3A6331" w:themeColor="accent4" w:themeShade="BF"/>
                      <w:sz w:val="48"/>
                      <w:szCs w:val="48"/>
                    </w:rPr>
                    <w:t>July</w:t>
                  </w:r>
                  <w:r w:rsidR="007C57C1" w:rsidRPr="007C57C1">
                    <w:rPr>
                      <w:b/>
                      <w:color w:val="3A6331" w:themeColor="accent4" w:themeShade="BF"/>
                      <w:sz w:val="48"/>
                      <w:szCs w:val="48"/>
                    </w:rPr>
                    <w:t xml:space="preserve"> 21st-August 25th</w:t>
                  </w:r>
                  <w:r w:rsidR="00A21261" w:rsidRPr="007C57C1">
                    <w:rPr>
                      <w:b/>
                      <w:color w:val="3A6331" w:themeColor="accent4" w:themeShade="BF"/>
                      <w:sz w:val="48"/>
                      <w:szCs w:val="48"/>
                    </w:rPr>
                    <w:t xml:space="preserve"> </w:t>
                  </w:r>
                </w:p>
                <w:p w:rsidR="004B5EF5" w:rsidRPr="005572C2" w:rsidRDefault="006C0DA5" w:rsidP="001D44E0">
                  <w:pPr>
                    <w:pStyle w:val="Title"/>
                    <w:rPr>
                      <w:b/>
                      <w:sz w:val="56"/>
                      <w:szCs w:val="56"/>
                    </w:rPr>
                  </w:pPr>
                  <w:r w:rsidRPr="005572C2">
                    <w:rPr>
                      <w:b/>
                      <w:sz w:val="56"/>
                      <w:szCs w:val="56"/>
                    </w:rPr>
                    <w:t>Live Well, Be Well</w:t>
                  </w:r>
                </w:p>
                <w:p w:rsidR="006C0DA5" w:rsidRPr="005572C2" w:rsidRDefault="006C0DA5" w:rsidP="006C0DA5">
                  <w:pPr>
                    <w:rPr>
                      <w:sz w:val="40"/>
                      <w:szCs w:val="40"/>
                    </w:rPr>
                  </w:pPr>
                  <w:r w:rsidRPr="005572C2">
                    <w:rPr>
                      <w:sz w:val="40"/>
                      <w:szCs w:val="40"/>
                    </w:rPr>
                    <w:t>Take Charge of Your Health</w:t>
                  </w:r>
                </w:p>
                <w:p w:rsidR="007C57C1" w:rsidRDefault="006C0DA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This </w:t>
                  </w:r>
                  <w:proofErr w:type="gramStart"/>
                  <w:r>
                    <w:rPr>
                      <w:b/>
                    </w:rPr>
                    <w:t>6 week</w:t>
                  </w:r>
                  <w:proofErr w:type="gramEnd"/>
                  <w:r>
                    <w:rPr>
                      <w:b/>
                    </w:rPr>
                    <w:t xml:space="preserve"> class will give you tools to better manage your health.  Learn new skills, set goals, and learn more about common health issues </w:t>
                  </w:r>
                  <w:r w:rsidR="005572C2">
                    <w:rPr>
                      <w:b/>
                    </w:rPr>
                    <w:t xml:space="preserve">effecting older adults.  </w:t>
                  </w:r>
                  <w:r>
                    <w:rPr>
                      <w:b/>
                    </w:rPr>
                    <w:t xml:space="preserve"> Your leaders, Annette Morrison and Debbie Hayek, from Community Care Systems, Inc. will help you put your skills to practice in this evidence-based</w:t>
                  </w:r>
                  <w:r w:rsidR="005572C2">
                    <w:rPr>
                      <w:b/>
                    </w:rPr>
                    <w:t xml:space="preserve"> class developed through Stanford</w:t>
                  </w:r>
                  <w:r>
                    <w:rPr>
                      <w:b/>
                    </w:rPr>
                    <w:t xml:space="preserve">. </w:t>
                  </w:r>
                </w:p>
                <w:p w:rsidR="0068168A" w:rsidRPr="007C57C1" w:rsidRDefault="007C57C1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7C57C1">
                    <w:rPr>
                      <w:b/>
                      <w:i/>
                      <w:sz w:val="20"/>
                      <w:szCs w:val="20"/>
                    </w:rPr>
                    <w:t>There is no charge to participate in this class, however, donations are accept</w:t>
                  </w:r>
                  <w:bookmarkStart w:id="0" w:name="_GoBack"/>
                  <w:bookmarkEnd w:id="0"/>
                  <w:r w:rsidRPr="007C57C1">
                    <w:rPr>
                      <w:b/>
                      <w:i/>
                      <w:sz w:val="20"/>
                      <w:szCs w:val="20"/>
                    </w:rPr>
                    <w:t xml:space="preserve">ed. </w:t>
                  </w:r>
                  <w:r w:rsidR="006C0DA5" w:rsidRPr="007C57C1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5572C2" w:rsidRPr="007C57C1" w:rsidRDefault="001D44E0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7C57C1">
                    <w:rPr>
                      <w:b/>
                      <w:i/>
                      <w:sz w:val="20"/>
                      <w:szCs w:val="20"/>
                    </w:rPr>
                    <w:t xml:space="preserve">Funded through Community Care Systems, Inc., ECIAAA, </w:t>
                  </w:r>
                  <w:r w:rsidR="005572C2" w:rsidRPr="007C57C1">
                    <w:rPr>
                      <w:b/>
                      <w:i/>
                      <w:sz w:val="20"/>
                      <w:szCs w:val="20"/>
                    </w:rPr>
                    <w:t xml:space="preserve">Age Options, </w:t>
                  </w:r>
                  <w:r w:rsidRPr="007C57C1">
                    <w:rPr>
                      <w:b/>
                      <w:i/>
                      <w:sz w:val="20"/>
                      <w:szCs w:val="20"/>
                    </w:rPr>
                    <w:t>and The Illinois Department on Aging.</w:t>
                  </w:r>
                  <w:r w:rsidR="005572C2" w:rsidRPr="007C57C1">
                    <w:rPr>
                      <w:b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1D44E0" w:rsidRPr="005572C2" w:rsidRDefault="005572C2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572C2">
                    <w:rPr>
                      <w:b/>
                      <w:i/>
                      <w:sz w:val="20"/>
                      <w:szCs w:val="20"/>
                    </w:rPr>
                    <w:t>Sponsored by the ARC.</w:t>
                  </w:r>
                </w:p>
              </w:tc>
            </w:tr>
            <w:tr w:rsidR="004B5EF5" w:rsidRPr="00946875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4B5EF5" w:rsidRPr="00946875" w:rsidRDefault="004B5EF5">
                  <w:pPr>
                    <w:rPr>
                      <w:b/>
                    </w:rPr>
                  </w:pPr>
                </w:p>
              </w:tc>
            </w:tr>
          </w:tbl>
          <w:p w:rsidR="004B5EF5" w:rsidRPr="00946875" w:rsidRDefault="004B5EF5">
            <w:pPr>
              <w:rPr>
                <w:b/>
              </w:rPr>
            </w:pPr>
          </w:p>
        </w:tc>
        <w:tc>
          <w:tcPr>
            <w:tcW w:w="90" w:type="dxa"/>
          </w:tcPr>
          <w:p w:rsidR="004B5EF5" w:rsidRPr="00946875" w:rsidRDefault="004B5EF5">
            <w:pPr>
              <w:rPr>
                <w:b/>
              </w:rPr>
            </w:pPr>
          </w:p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4B5EF5" w:rsidRPr="00946875">
              <w:trPr>
                <w:trHeight w:hRule="exact" w:val="10800"/>
              </w:trPr>
              <w:tc>
                <w:tcPr>
                  <w:tcW w:w="3446" w:type="dxa"/>
                  <w:shd w:val="clear" w:color="auto" w:fill="9F2936" w:themeFill="accent2"/>
                  <w:vAlign w:val="center"/>
                </w:tcPr>
                <w:p w:rsidR="004B5EF5" w:rsidRPr="00946875" w:rsidRDefault="001D44E0" w:rsidP="001D44E0">
                  <w:pPr>
                    <w:pStyle w:val="Line"/>
                    <w:ind w:left="70" w:right="110" w:firstLine="900"/>
                    <w:rPr>
                      <w:b/>
                    </w:rPr>
                  </w:pPr>
                  <w:r w:rsidRPr="00946875">
                    <w:rPr>
                      <w:b/>
                    </w:rPr>
                    <w:t>Funded t</w:t>
                  </w:r>
                  <w:r w:rsidRPr="00946875">
                    <w:rPr>
                      <w:b/>
                      <w:noProof/>
                      <w:lang w:eastAsia="en-US"/>
                    </w:rPr>
                    <w:drawing>
                      <wp:inline distT="0" distB="0" distL="0" distR="0" wp14:anchorId="6E8262A9" wp14:editId="1B0FCEA7">
                        <wp:extent cx="1716524" cy="9398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775" cy="94212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46875">
                    <w:rPr>
                      <w:b/>
                    </w:rPr>
                    <w:t>hrough</w:t>
                  </w:r>
                  <w:proofErr w:type="spellEnd"/>
                  <w:r w:rsidRPr="00946875">
                    <w:rPr>
                      <w:b/>
                    </w:rPr>
                    <w:t xml:space="preserve"> Community Care Systems, Inc., ECIAAA, and IL Department on Aging.</w:t>
                  </w:r>
                </w:p>
                <w:p w:rsidR="005572C2" w:rsidRDefault="005572C2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 xml:space="preserve">Class size is limited &amp; </w:t>
                  </w:r>
                </w:p>
                <w:p w:rsidR="00A11353" w:rsidRDefault="005572C2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 xml:space="preserve">Pre-registration is required.  Call the ARC at </w:t>
                  </w:r>
                </w:p>
                <w:p w:rsidR="004B5EF5" w:rsidRDefault="005572C2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>309-888-9099</w:t>
                  </w:r>
                  <w:r w:rsidR="00EE508D">
                    <w:rPr>
                      <w:b/>
                    </w:rPr>
                    <w:t xml:space="preserve"> to reserve your place</w:t>
                  </w:r>
                  <w:r>
                    <w:rPr>
                      <w:b/>
                    </w:rPr>
                    <w:t>.</w:t>
                  </w:r>
                </w:p>
                <w:p w:rsidR="007C57C1" w:rsidRPr="007C57C1" w:rsidRDefault="007C57C1" w:rsidP="007C57C1">
                  <w:pPr>
                    <w:pStyle w:val="Line"/>
                  </w:pPr>
                </w:p>
                <w:p w:rsidR="004B5EF5" w:rsidRPr="00FF7AB9" w:rsidRDefault="005572C2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>Text Books and all class materials are provided.  The book will be available for purchase for $25.00 at the end of class.</w:t>
                  </w:r>
                </w:p>
                <w:p w:rsidR="007A4791" w:rsidRPr="007A4791" w:rsidRDefault="007A4791" w:rsidP="007A4791">
                  <w:pPr>
                    <w:pStyle w:val="Line"/>
                  </w:pPr>
                </w:p>
                <w:p w:rsidR="004B5EF5" w:rsidRPr="00946875" w:rsidRDefault="004B5EF5">
                  <w:pPr>
                    <w:pStyle w:val="Line"/>
                    <w:rPr>
                      <w:b/>
                    </w:rPr>
                  </w:pPr>
                </w:p>
                <w:p w:rsidR="009D1FCD" w:rsidRPr="00946875" w:rsidRDefault="009D1FCD" w:rsidP="009D1FCD">
                  <w:pPr>
                    <w:pStyle w:val="Line"/>
                    <w:rPr>
                      <w:b/>
                    </w:rPr>
                  </w:pPr>
                  <w:r w:rsidRPr="00946875">
                    <w:rPr>
                      <w:b/>
                    </w:rPr>
                    <w:t>W</w:t>
                  </w:r>
                </w:p>
                <w:p w:rsidR="004B5EF5" w:rsidRPr="00946875" w:rsidRDefault="004B5EF5">
                  <w:pPr>
                    <w:pStyle w:val="Line"/>
                    <w:rPr>
                      <w:b/>
                    </w:rPr>
                  </w:pPr>
                </w:p>
                <w:p w:rsidR="004B5EF5" w:rsidRPr="00946875" w:rsidRDefault="004B5EF5">
                  <w:pPr>
                    <w:pStyle w:val="Heading2"/>
                    <w:rPr>
                      <w:b/>
                    </w:rPr>
                  </w:pPr>
                </w:p>
              </w:tc>
            </w:tr>
            <w:tr w:rsidR="004B5EF5" w:rsidRPr="00946875">
              <w:trPr>
                <w:trHeight w:hRule="exact" w:val="144"/>
              </w:trPr>
              <w:tc>
                <w:tcPr>
                  <w:tcW w:w="3446" w:type="dxa"/>
                </w:tcPr>
                <w:p w:rsidR="004B5EF5" w:rsidRPr="00946875" w:rsidRDefault="004B5EF5">
                  <w:pPr>
                    <w:rPr>
                      <w:b/>
                    </w:rPr>
                  </w:pPr>
                </w:p>
              </w:tc>
            </w:tr>
            <w:tr w:rsidR="004B5EF5" w:rsidRPr="00946875" w:rsidTr="009D1FCD">
              <w:trPr>
                <w:trHeight w:hRule="exact" w:val="3456"/>
              </w:trPr>
              <w:tc>
                <w:tcPr>
                  <w:tcW w:w="3446" w:type="dxa"/>
                  <w:shd w:val="clear" w:color="auto" w:fill="3A6331" w:themeFill="accent4" w:themeFillShade="BF"/>
                  <w:vAlign w:val="center"/>
                </w:tcPr>
                <w:p w:rsidR="00A94841" w:rsidRPr="00946875" w:rsidRDefault="00A94841">
                  <w:pPr>
                    <w:pStyle w:val="Heading3"/>
                    <w:rPr>
                      <w:b/>
                      <w:u w:val="single"/>
                    </w:rPr>
                  </w:pPr>
                  <w:r w:rsidRPr="00946875">
                    <w:rPr>
                      <w:b/>
                      <w:u w:val="single"/>
                    </w:rPr>
                    <w:t>Our Main Office:</w:t>
                  </w:r>
                </w:p>
                <w:p w:rsidR="004B5EF5" w:rsidRPr="00946875" w:rsidRDefault="00A94841">
                  <w:pPr>
                    <w:pStyle w:val="Heading3"/>
                    <w:rPr>
                      <w:b/>
                    </w:rPr>
                  </w:pPr>
                  <w:r w:rsidRPr="00946875">
                    <w:rPr>
                      <w:b/>
                    </w:rPr>
                    <w:t>Community Care Systems, Inc.</w:t>
                  </w:r>
                </w:p>
                <w:p w:rsidR="004B5EF5" w:rsidRPr="00946875" w:rsidRDefault="003C60D5">
                  <w:pPr>
                    <w:pStyle w:val="ContactInfo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57003158"/>
                      <w:placeholder>
                        <w:docPart w:val="282AB9E5EB314A7F816F68F78DA7B8C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9D588F">
                        <w:rPr>
                          <w:b/>
                        </w:rPr>
                        <w:t>3601 G.E. Road, Suite 2</w:t>
                      </w:r>
                      <w:r w:rsidR="009D588F">
                        <w:rPr>
                          <w:b/>
                        </w:rPr>
                        <w:br/>
                        <w:t>Bloomington, IL 61704</w:t>
                      </w:r>
                      <w:r w:rsidR="00A94841" w:rsidRPr="00946875">
                        <w:rPr>
                          <w:b/>
                        </w:rPr>
                        <w:br/>
                        <w:t>309-661-6400</w:t>
                      </w:r>
                    </w:sdtContent>
                  </w:sdt>
                </w:p>
                <w:p w:rsidR="00A94841" w:rsidRPr="00946875" w:rsidRDefault="00A94841" w:rsidP="00A94841">
                  <w:pPr>
                    <w:pStyle w:val="ContactInfo"/>
                    <w:spacing w:after="0"/>
                    <w:rPr>
                      <w:b/>
                    </w:rPr>
                  </w:pPr>
                  <w:proofErr w:type="spellStart"/>
                  <w:r w:rsidRPr="00946875">
                    <w:rPr>
                      <w:b/>
                    </w:rPr>
                    <w:t>bloomingtonccu</w:t>
                  </w:r>
                  <w:proofErr w:type="spellEnd"/>
                  <w:r w:rsidRPr="00946875">
                    <w:rPr>
                      <w:b/>
                    </w:rPr>
                    <w:t>@</w:t>
                  </w:r>
                </w:p>
                <w:p w:rsidR="004B5EF5" w:rsidRPr="00946875" w:rsidRDefault="00A94841" w:rsidP="00A94841">
                  <w:pPr>
                    <w:pStyle w:val="ContactInfo"/>
                    <w:spacing w:after="0"/>
                    <w:rPr>
                      <w:b/>
                    </w:rPr>
                  </w:pPr>
                  <w:r w:rsidRPr="00946875">
                    <w:rPr>
                      <w:b/>
                    </w:rPr>
                    <w:t>ccsicares.com</w:t>
                  </w:r>
                </w:p>
                <w:p w:rsidR="004B5EF5" w:rsidRPr="00946875" w:rsidRDefault="004B5EF5">
                  <w:pPr>
                    <w:pStyle w:val="Date"/>
                    <w:rPr>
                      <w:b/>
                    </w:rPr>
                  </w:pPr>
                </w:p>
              </w:tc>
            </w:tr>
          </w:tbl>
          <w:p w:rsidR="004B5EF5" w:rsidRPr="00946875" w:rsidRDefault="004B5EF5">
            <w:pPr>
              <w:rPr>
                <w:b/>
              </w:rPr>
            </w:pPr>
          </w:p>
        </w:tc>
      </w:tr>
    </w:tbl>
    <w:p w:rsidR="004B5EF5" w:rsidRDefault="004B5EF5">
      <w:pPr>
        <w:pStyle w:val="NoSpacing"/>
      </w:pPr>
    </w:p>
    <w:sectPr w:rsidR="004B5EF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17"/>
    <w:rsid w:val="001D1084"/>
    <w:rsid w:val="001D44E0"/>
    <w:rsid w:val="002826DD"/>
    <w:rsid w:val="003F4C25"/>
    <w:rsid w:val="004219D5"/>
    <w:rsid w:val="004B5EF5"/>
    <w:rsid w:val="004C667A"/>
    <w:rsid w:val="00547865"/>
    <w:rsid w:val="005541FB"/>
    <w:rsid w:val="005572C2"/>
    <w:rsid w:val="005D419A"/>
    <w:rsid w:val="00654502"/>
    <w:rsid w:val="0068168A"/>
    <w:rsid w:val="006C0DA5"/>
    <w:rsid w:val="00701E1B"/>
    <w:rsid w:val="00725611"/>
    <w:rsid w:val="00752C43"/>
    <w:rsid w:val="007A4791"/>
    <w:rsid w:val="007C57C1"/>
    <w:rsid w:val="007E4191"/>
    <w:rsid w:val="00845143"/>
    <w:rsid w:val="008A1049"/>
    <w:rsid w:val="00946875"/>
    <w:rsid w:val="009C7232"/>
    <w:rsid w:val="009D1FCD"/>
    <w:rsid w:val="009D588F"/>
    <w:rsid w:val="00A11353"/>
    <w:rsid w:val="00A21261"/>
    <w:rsid w:val="00A652D0"/>
    <w:rsid w:val="00A94841"/>
    <w:rsid w:val="00B1159A"/>
    <w:rsid w:val="00BD3DF3"/>
    <w:rsid w:val="00C90F55"/>
    <w:rsid w:val="00D71085"/>
    <w:rsid w:val="00DB36EF"/>
    <w:rsid w:val="00DE79BC"/>
    <w:rsid w:val="00EA28E4"/>
    <w:rsid w:val="00EB10B9"/>
    <w:rsid w:val="00EB6617"/>
    <w:rsid w:val="00EE508D"/>
    <w:rsid w:val="00F350C8"/>
    <w:rsid w:val="00FE113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DD634"/>
  <w15:chartTrackingRefBased/>
  <w15:docId w15:val="{3173AAC4-4DAA-4016-B29D-0A31F09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23232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F07F0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F07F09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F07F09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F07F0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&amp;ehk=lZIQBtOuBDa7r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SI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2AB9E5EB314A7F816F68F78DA7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51B5-2E78-452C-A67F-EF7EC44C9AA0}"/>
      </w:docPartPr>
      <w:docPartBody>
        <w:p w:rsidR="001C7B7C" w:rsidRDefault="000F6F6D">
          <w:pPr>
            <w:pStyle w:val="282AB9E5EB314A7F816F68F78DA7B8CF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6D"/>
    <w:rsid w:val="000F6F6D"/>
    <w:rsid w:val="001C7B7C"/>
    <w:rsid w:val="004D1E55"/>
    <w:rsid w:val="009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A900A689B46008024931D7BC3E45B">
    <w:name w:val="03AA900A689B46008024931D7BC3E45B"/>
  </w:style>
  <w:style w:type="paragraph" w:customStyle="1" w:styleId="2EB4D7351A1F4DF1ADEE4FCC94CFE6F7">
    <w:name w:val="2EB4D7351A1F4DF1ADEE4FCC94CFE6F7"/>
  </w:style>
  <w:style w:type="paragraph" w:customStyle="1" w:styleId="D9FF9864C7214140BA1B587D17B43FA0">
    <w:name w:val="D9FF9864C7214140BA1B587D17B43FA0"/>
  </w:style>
  <w:style w:type="paragraph" w:customStyle="1" w:styleId="11AEFFDC8D0D45D1850317BD5B437FDE">
    <w:name w:val="11AEFFDC8D0D45D1850317BD5B437FDE"/>
  </w:style>
  <w:style w:type="paragraph" w:customStyle="1" w:styleId="04F85960754046F89877BE4F731D7CEE">
    <w:name w:val="04F85960754046F89877BE4F731D7CEE"/>
  </w:style>
  <w:style w:type="paragraph" w:customStyle="1" w:styleId="83F02DA46D264FCBA82129ED7EFE98AF">
    <w:name w:val="83F02DA46D264FCBA82129ED7EFE98AF"/>
  </w:style>
  <w:style w:type="paragraph" w:customStyle="1" w:styleId="72FCDEB240D94422B2F49983E60FE6BB">
    <w:name w:val="72FCDEB240D94422B2F49983E60FE6BB"/>
  </w:style>
  <w:style w:type="paragraph" w:customStyle="1" w:styleId="58494D7DAE4041F3951A6AACEAE50375">
    <w:name w:val="58494D7DAE4041F3951A6AACEAE50375"/>
  </w:style>
  <w:style w:type="paragraph" w:customStyle="1" w:styleId="DAC55F2B73D54B4783C3801834D9BD68">
    <w:name w:val="DAC55F2B73D54B4783C3801834D9BD68"/>
  </w:style>
  <w:style w:type="paragraph" w:customStyle="1" w:styleId="3D9DE837C087430A967DEA06FBE28C1C">
    <w:name w:val="3D9DE837C087430A967DEA06FBE28C1C"/>
  </w:style>
  <w:style w:type="paragraph" w:customStyle="1" w:styleId="282AB9E5EB314A7F816F68F78DA7B8CF">
    <w:name w:val="282AB9E5EB314A7F816F68F78DA7B8CF"/>
  </w:style>
  <w:style w:type="paragraph" w:customStyle="1" w:styleId="FF46C80EB4714C439C885F80A11D0BE0">
    <w:name w:val="FF46C80EB4714C439C885F80A11D0BE0"/>
  </w:style>
  <w:style w:type="paragraph" w:customStyle="1" w:styleId="DBCBD1961A924AFE9E32F733292441F2">
    <w:name w:val="DBCBD1961A924AFE9E32F73329244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CCSI</dc:creator>
  <cp:keywords/>
  <dc:description/>
  <cp:lastModifiedBy>CCSI</cp:lastModifiedBy>
  <cp:revision>3</cp:revision>
  <cp:lastPrinted>2017-02-15T17:36:00Z</cp:lastPrinted>
  <dcterms:created xsi:type="dcterms:W3CDTF">2017-04-19T15:42:00Z</dcterms:created>
  <dcterms:modified xsi:type="dcterms:W3CDTF">2017-04-19T15:43:00Z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